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690245</wp:posOffset>
            </wp:positionH>
            <wp:positionV relativeFrom="page">
              <wp:posOffset>8890</wp:posOffset>
            </wp:positionV>
            <wp:extent cx="6870065" cy="1947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50"/>
          <w:szCs w:val="50"/>
          <w:b w:val="1"/>
          <w:bCs w:val="1"/>
          <w:color w:val="801E21"/>
        </w:rPr>
        <w:t>TÉCNICO SUPERIOR EN PSICOLOGÍA SOCIAL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40"/>
          <w:szCs w:val="40"/>
          <w:color w:val="801E21"/>
        </w:rPr>
        <w:t>MODALIDAD A DISTANCIA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231F20"/>
        </w:rPr>
        <w:t>RESOL-2020-1525-GCABA-MEDGC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231F20"/>
        </w:rPr>
        <w:t>Carrera de cuatro años que permite el acceso a Posgrados y Maestrías Universitarias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 Light" w:cs="Calibri Light" w:eastAsia="Calibri Light" w:hAnsi="Calibri Light"/>
          <w:sz w:val="40"/>
          <w:szCs w:val="40"/>
          <w:b w:val="1"/>
          <w:bCs w:val="1"/>
          <w:color w:val="800000"/>
        </w:rPr>
        <w:t>PERFIL DEL EGRESADO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444444"/>
        </w:rPr>
        <w:t>El Técnico Superior en Psicología Social estará capacitado para:</w:t>
      </w: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both"/>
        <w:spacing w:after="0" w:line="35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444444"/>
        </w:rPr>
        <w:t>Relevar recursos humanos, presentes o a adquirir para la realización de las tareas destinados a potenciar procesos comunicacionales y grupales; intervenir en procesos interaccionales desde una óptica que abarca procesos conscientes e inconscientes y su interjuego, los determinantes psíquicos y sociales y la determinación de los mismos en estos procesos; detectar las situaciones de conflicto que impidan la realización de la tarea; implementando técnicas individuales y grupales en función diagnóstica tendientes a promover el desarrollo social: encuestas, entrevistas, observación diagnóstica de grupos, instituciones y organizaciones desarrollar la capacidad de inserción y de organización de equipos interdisciplinarios, tanto para las tareas de desarrollo social y prevención como las de intervención en situaciones conflictivas; El asesoramiento, diseño, gestión, monitoreo y evaluación de proyectos psicosociales, grupales, organizacionales o comunitarios, de acuerdo con los lineamientos previstos por diferentes organismos gubernamentales y no gubernamentales, públicos o privados, dirigidos a la intervención sobre diferentes problemáticas psicosociales, grupos etarios y grupos sociales, cualquiera sea su localización o pertenencia social, desde el área pertinente de abordaje.</w:t>
      </w:r>
    </w:p>
    <w:p>
      <w:pPr>
        <w:sectPr>
          <w:pgSz w:w="11900" w:h="16838" w:orient="portrait"/>
          <w:cols w:equalWidth="0" w:num="1">
            <w:col w:w="9760"/>
          </w:cols>
          <w:pgMar w:left="1080" w:top="1440" w:right="1066" w:bottom="85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alibri Light" w:cs="Calibri Light" w:eastAsia="Calibri Light" w:hAnsi="Calibri Light"/>
          <w:sz w:val="40"/>
          <w:szCs w:val="40"/>
          <w:b w:val="1"/>
          <w:bCs w:val="1"/>
          <w:color w:val="800000"/>
        </w:rPr>
        <w:t>INCUMBENCIAS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444444"/>
        </w:rPr>
        <w:t>Podrá desempeñarse en forma independiente o en relación de dependencia en organismos oficiales y/o privados en función de la promoción social en campos de interacción entre sujetos con conflictivas diversas, entre ellas: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1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444444"/>
        </w:rPr>
        <w:t>En situaciones de crisis, emergencias sociales y conflictos en grupos, instituciones y sectores de la comunidad.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jc w:val="both"/>
        <w:spacing w:after="0" w:line="35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444444"/>
        </w:rPr>
        <w:t>Operando en el ámbito de la prevención de situaciones problemáticas con relación a áreas tales como: educación, tiempo libre, trabajo, salud, promoción y acción social. En distintas áreas de la vida colectiva que generan problemáticas para los sujetos, los grupos y las organizaciones comunitarias: Diseño y aplicación de metodologías, técnicas y dispositivos individuales, grupales, organizacionales, de participación comunitaria o social, con el objeto de intervenir a partir de necesidades y/o demandas en las distintas áreas de aplicación de la Psicología Social: Educación, Trabajo, Desarrollo Social o Local, Recreación y tiempo libre, Deportes, Medio Ambiente, Desarrollo del Tercer Sector y del Sector Empresario Productivo y de Servicios, Organizaciones, Redes Sociales, Prevención de violencia familiar, escolar, de género u otras; Acompañamiento e inclusión social de niños y jóvenes en situación de vulnerabilidad y/o en conflicto con la ley; Problemáticas psicosociales de la infancia y la juventud; Prevención de adicciones; fortalecimiento familiar; formación de agentes comunitarios; en el ámbito de la Justicia: acompañamiento de diversas problemáticas familiares; Tercera Edad; en capacitación laboral, empleabilidad y cultura del trabajo, fortalecimiento de emprendedores y grupos ligados a la Economía Social; situaciones de emergencia social.</w:t>
      </w:r>
    </w:p>
    <w:p>
      <w:pPr>
        <w:sectPr>
          <w:pgSz w:w="11900" w:h="16838" w:orient="portrait"/>
          <w:cols w:equalWidth="0" w:num="1">
            <w:col w:w="9760"/>
          </w:cols>
          <w:pgMar w:left="1080" w:top="1431" w:right="1066" w:bottom="32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96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660000"/>
        </w:rPr>
        <w:t>1</w:t>
      </w:r>
    </w:p>
    <w:sectPr>
      <w:pgSz w:w="11900" w:h="16838" w:orient="portrait"/>
      <w:cols w:equalWidth="0" w:num="1">
        <w:col w:w="9760"/>
      </w:cols>
      <w:pgMar w:left="1080" w:top="1431" w:right="1066" w:bottom="328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2021-05-04T13:51:28Z</dcterms:created>
  <dcterms:modified xsi:type="dcterms:W3CDTF">2021-05-04T13:51:28Z</dcterms:modified>
</cp:coreProperties>
</file>